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4C" w:rsidRPr="00FF7392" w:rsidRDefault="00E34B4C" w:rsidP="00E34B4C">
      <w:pPr>
        <w:rPr>
          <w:rFonts w:ascii="Times New Roman" w:eastAsia="Times New Roman" w:hAnsi="Times New Roman" w:cs="Times New Roman"/>
          <w:sz w:val="24"/>
          <w:szCs w:val="24"/>
        </w:rPr>
      </w:pPr>
    </w:p>
    <w:p w:rsidR="00B95862" w:rsidRDefault="00B95862" w:rsidP="00E34B4C">
      <w:pPr>
        <w:shd w:val="clear" w:color="auto" w:fill="FFFFFF"/>
        <w:spacing w:after="240"/>
        <w:rPr>
          <w:rFonts w:ascii="Arial" w:eastAsia="Times New Roman" w:hAnsi="Arial" w:cs="Arial"/>
          <w:b/>
          <w:bCs/>
          <w:sz w:val="18"/>
          <w:szCs w:val="18"/>
        </w:rPr>
      </w:pPr>
      <w:r>
        <w:rPr>
          <w:rFonts w:ascii="Arial" w:eastAsia="Times New Roman" w:hAnsi="Arial" w:cs="Arial"/>
          <w:b/>
          <w:bCs/>
          <w:sz w:val="18"/>
          <w:szCs w:val="18"/>
        </w:rPr>
        <w:t>AASL Core List of Architectural Periodicals, 5</w:t>
      </w:r>
      <w:r w:rsidRPr="00B95862">
        <w:rPr>
          <w:rFonts w:ascii="Arial" w:eastAsia="Times New Roman" w:hAnsi="Arial" w:cs="Arial"/>
          <w:b/>
          <w:bCs/>
          <w:sz w:val="18"/>
          <w:szCs w:val="18"/>
          <w:vertAlign w:val="superscript"/>
        </w:rPr>
        <w:t>th</w:t>
      </w:r>
      <w:r>
        <w:rPr>
          <w:rFonts w:ascii="Arial" w:eastAsia="Times New Roman" w:hAnsi="Arial" w:cs="Arial"/>
          <w:b/>
          <w:bCs/>
          <w:sz w:val="18"/>
          <w:szCs w:val="18"/>
        </w:rPr>
        <w:t xml:space="preserve"> edition (2017)</w:t>
      </w:r>
    </w:p>
    <w:p w:rsidR="00E34B4C" w:rsidRPr="00FF7392" w:rsidRDefault="00E34B4C" w:rsidP="00E34B4C">
      <w:pPr>
        <w:shd w:val="clear" w:color="auto" w:fill="FFFFFF"/>
        <w:spacing w:after="240"/>
        <w:rPr>
          <w:rFonts w:ascii="Arial" w:eastAsia="Times New Roman" w:hAnsi="Arial" w:cs="Arial"/>
          <w:sz w:val="18"/>
          <w:szCs w:val="18"/>
        </w:rPr>
      </w:pPr>
      <w:r w:rsidRPr="00FF7392">
        <w:rPr>
          <w:rFonts w:ascii="Arial" w:eastAsia="Times New Roman" w:hAnsi="Arial" w:cs="Arial"/>
          <w:sz w:val="18"/>
          <w:szCs w:val="18"/>
        </w:rPr>
        <w:t>As the professional librarians’ association most closely linked to serving the creative and scholarly</w:t>
      </w:r>
      <w:r w:rsidR="00484E53" w:rsidRPr="00FF7392">
        <w:rPr>
          <w:rFonts w:ascii="Arial" w:eastAsia="Times New Roman" w:hAnsi="Arial" w:cs="Arial"/>
          <w:sz w:val="18"/>
          <w:szCs w:val="18"/>
        </w:rPr>
        <w:t xml:space="preserve"> needs of Architecture faculty</w:t>
      </w:r>
      <w:r w:rsidR="00C5585E" w:rsidRPr="00FF7392">
        <w:rPr>
          <w:rFonts w:ascii="Arial" w:eastAsia="Times New Roman" w:hAnsi="Arial" w:cs="Arial"/>
          <w:sz w:val="18"/>
          <w:szCs w:val="18"/>
        </w:rPr>
        <w:t xml:space="preserve"> and</w:t>
      </w:r>
      <w:r w:rsidR="00484E53" w:rsidRPr="00FF7392">
        <w:rPr>
          <w:rFonts w:ascii="Arial" w:eastAsia="Times New Roman" w:hAnsi="Arial" w:cs="Arial"/>
          <w:sz w:val="18"/>
          <w:szCs w:val="18"/>
        </w:rPr>
        <w:t xml:space="preserve"> </w:t>
      </w:r>
      <w:r w:rsidRPr="00FF7392">
        <w:rPr>
          <w:rFonts w:ascii="Arial" w:eastAsia="Times New Roman" w:hAnsi="Arial" w:cs="Arial"/>
          <w:sz w:val="18"/>
          <w:szCs w:val="18"/>
        </w:rPr>
        <w:t>students</w:t>
      </w:r>
      <w:r w:rsidR="00484E53" w:rsidRPr="00FF7392">
        <w:rPr>
          <w:rFonts w:ascii="Arial" w:eastAsia="Times New Roman" w:hAnsi="Arial" w:cs="Arial"/>
          <w:sz w:val="18"/>
          <w:szCs w:val="18"/>
        </w:rPr>
        <w:t xml:space="preserve">, </w:t>
      </w:r>
      <w:r w:rsidRPr="00FF7392">
        <w:rPr>
          <w:rFonts w:ascii="Arial" w:eastAsia="Times New Roman" w:hAnsi="Arial" w:cs="Arial"/>
          <w:sz w:val="18"/>
          <w:szCs w:val="18"/>
        </w:rPr>
        <w:t>A</w:t>
      </w:r>
      <w:r w:rsidR="00484E53" w:rsidRPr="00FF7392">
        <w:rPr>
          <w:rFonts w:ascii="Arial" w:eastAsia="Times New Roman" w:hAnsi="Arial" w:cs="Arial"/>
          <w:sz w:val="18"/>
          <w:szCs w:val="18"/>
        </w:rPr>
        <w:t>A</w:t>
      </w:r>
      <w:r w:rsidRPr="00FF7392">
        <w:rPr>
          <w:rFonts w:ascii="Arial" w:eastAsia="Times New Roman" w:hAnsi="Arial" w:cs="Arial"/>
          <w:sz w:val="18"/>
          <w:szCs w:val="18"/>
        </w:rPr>
        <w:t xml:space="preserve">SL members </w:t>
      </w:r>
      <w:r w:rsidR="00484E53" w:rsidRPr="00FF7392">
        <w:rPr>
          <w:rFonts w:ascii="Arial" w:eastAsia="Times New Roman" w:hAnsi="Arial" w:cs="Arial"/>
          <w:sz w:val="18"/>
          <w:szCs w:val="18"/>
        </w:rPr>
        <w:t xml:space="preserve">are committed to </w:t>
      </w:r>
      <w:r w:rsidR="00C5585E" w:rsidRPr="00FF7392">
        <w:rPr>
          <w:rFonts w:ascii="Arial" w:eastAsia="Times New Roman" w:hAnsi="Arial" w:cs="Arial"/>
          <w:sz w:val="18"/>
          <w:szCs w:val="18"/>
        </w:rPr>
        <w:t>identifying and providing access to</w:t>
      </w:r>
      <w:r w:rsidR="00484E53" w:rsidRPr="00FF7392">
        <w:rPr>
          <w:rFonts w:ascii="Arial" w:eastAsia="Times New Roman" w:hAnsi="Arial" w:cs="Arial"/>
          <w:sz w:val="18"/>
          <w:szCs w:val="18"/>
        </w:rPr>
        <w:t xml:space="preserve"> the best</w:t>
      </w:r>
      <w:r w:rsidRPr="00FF7392">
        <w:rPr>
          <w:rFonts w:ascii="Arial" w:eastAsia="Times New Roman" w:hAnsi="Arial" w:cs="Arial"/>
          <w:sz w:val="18"/>
          <w:szCs w:val="18"/>
        </w:rPr>
        <w:t xml:space="preserve"> resources </w:t>
      </w:r>
      <w:r w:rsidR="00484E53" w:rsidRPr="00FF7392">
        <w:rPr>
          <w:rFonts w:ascii="Arial" w:eastAsia="Times New Roman" w:hAnsi="Arial" w:cs="Arial"/>
          <w:sz w:val="18"/>
          <w:szCs w:val="18"/>
        </w:rPr>
        <w:t>in support of the ever-</w:t>
      </w:r>
      <w:r w:rsidRPr="00FF7392">
        <w:rPr>
          <w:rFonts w:ascii="Arial" w:eastAsia="Times New Roman" w:hAnsi="Arial" w:cs="Arial"/>
          <w:sz w:val="18"/>
          <w:szCs w:val="18"/>
        </w:rPr>
        <w:t xml:space="preserve">changing field of architectural design. To this end, AASL has assumed responsibility for creating a </w:t>
      </w:r>
      <w:r w:rsidR="00DA62BC" w:rsidRPr="00FF7392">
        <w:rPr>
          <w:rFonts w:ascii="Arial" w:eastAsia="Times New Roman" w:hAnsi="Arial" w:cs="Arial"/>
          <w:sz w:val="18"/>
          <w:szCs w:val="18"/>
        </w:rPr>
        <w:t>reference</w:t>
      </w:r>
      <w:r w:rsidR="00C5585E" w:rsidRPr="00FF7392">
        <w:rPr>
          <w:rFonts w:ascii="Arial" w:eastAsia="Times New Roman" w:hAnsi="Arial" w:cs="Arial"/>
          <w:sz w:val="18"/>
          <w:szCs w:val="18"/>
        </w:rPr>
        <w:t xml:space="preserve"> list of </w:t>
      </w:r>
      <w:r w:rsidR="00DA62BC" w:rsidRPr="00FF7392">
        <w:rPr>
          <w:rFonts w:ascii="Arial" w:eastAsia="Times New Roman" w:hAnsi="Arial" w:cs="Arial"/>
          <w:sz w:val="18"/>
          <w:szCs w:val="18"/>
        </w:rPr>
        <w:t xml:space="preserve">core </w:t>
      </w:r>
      <w:r w:rsidR="00C5585E" w:rsidRPr="00FF7392">
        <w:rPr>
          <w:rFonts w:ascii="Arial" w:eastAsia="Times New Roman" w:hAnsi="Arial" w:cs="Arial"/>
          <w:sz w:val="18"/>
          <w:szCs w:val="18"/>
        </w:rPr>
        <w:t>professional, trade, and scholarly</w:t>
      </w:r>
      <w:r w:rsidRPr="00FF7392">
        <w:rPr>
          <w:rFonts w:ascii="Arial" w:eastAsia="Times New Roman" w:hAnsi="Arial" w:cs="Arial"/>
          <w:sz w:val="18"/>
          <w:szCs w:val="18"/>
        </w:rPr>
        <w:t xml:space="preserve"> periodicals </w:t>
      </w:r>
      <w:r w:rsidR="00C5585E" w:rsidRPr="00FF7392">
        <w:rPr>
          <w:rFonts w:ascii="Arial" w:eastAsia="Times New Roman" w:hAnsi="Arial" w:cs="Arial"/>
          <w:sz w:val="18"/>
          <w:szCs w:val="18"/>
        </w:rPr>
        <w:t>most appropriate to the needs of</w:t>
      </w:r>
      <w:r w:rsidRPr="00FF7392">
        <w:rPr>
          <w:rFonts w:ascii="Arial" w:eastAsia="Times New Roman" w:hAnsi="Arial" w:cs="Arial"/>
          <w:sz w:val="18"/>
          <w:szCs w:val="18"/>
        </w:rPr>
        <w:t xml:space="preserve"> first-degree programs in Architecture.</w:t>
      </w:r>
    </w:p>
    <w:p w:rsidR="00E34B4C" w:rsidRPr="00FF7392" w:rsidRDefault="00C5585E" w:rsidP="00E34B4C">
      <w:pPr>
        <w:rPr>
          <w:rFonts w:ascii="Times New Roman" w:eastAsia="Times New Roman" w:hAnsi="Times New Roman" w:cs="Times New Roman"/>
          <w:sz w:val="24"/>
          <w:szCs w:val="24"/>
        </w:rPr>
      </w:pPr>
      <w:r w:rsidRPr="00FF7392">
        <w:rPr>
          <w:rFonts w:ascii="Arial" w:eastAsia="Times New Roman" w:hAnsi="Arial" w:cs="Arial"/>
          <w:sz w:val="18"/>
          <w:szCs w:val="18"/>
          <w:shd w:val="clear" w:color="auto" w:fill="FFFFFF"/>
        </w:rPr>
        <w:t>AASL members compiled the first</w:t>
      </w:r>
      <w:r w:rsidR="00E34B4C" w:rsidRPr="00FF7392">
        <w:rPr>
          <w:rFonts w:ascii="Arial" w:eastAsia="Times New Roman" w:hAnsi="Arial" w:cs="Arial"/>
          <w:sz w:val="18"/>
          <w:szCs w:val="18"/>
          <w:shd w:val="clear" w:color="auto" w:fill="FFFFFF"/>
        </w:rPr>
        <w:t xml:space="preserve"> core list in 1995. The need for such a resource was initially suggested a few years earlier by Pat Wiesenberger, then architecture librarian at Kansas State</w:t>
      </w:r>
      <w:r w:rsidRPr="00FF7392">
        <w:rPr>
          <w:rFonts w:ascii="Arial" w:eastAsia="Times New Roman" w:hAnsi="Arial" w:cs="Arial"/>
          <w:sz w:val="18"/>
          <w:szCs w:val="18"/>
          <w:shd w:val="clear" w:color="auto" w:fill="FFFFFF"/>
        </w:rPr>
        <w:t xml:space="preserve"> University</w:t>
      </w:r>
      <w:r w:rsidR="00E34B4C" w:rsidRPr="00FF7392">
        <w:rPr>
          <w:rFonts w:ascii="Arial" w:eastAsia="Times New Roman" w:hAnsi="Arial" w:cs="Arial"/>
          <w:sz w:val="18"/>
          <w:szCs w:val="18"/>
          <w:shd w:val="clear" w:color="auto" w:fill="FFFFFF"/>
        </w:rPr>
        <w:t xml:space="preserve">. Sharing her thoughts at an annual </w:t>
      </w:r>
      <w:r w:rsidRPr="00FF7392">
        <w:rPr>
          <w:rFonts w:ascii="Arial" w:eastAsia="Times New Roman" w:hAnsi="Arial" w:cs="Arial"/>
          <w:sz w:val="18"/>
          <w:szCs w:val="18"/>
          <w:shd w:val="clear" w:color="auto" w:fill="FFFFFF"/>
        </w:rPr>
        <w:t>AASL meeting</w:t>
      </w:r>
      <w:r w:rsidR="00E34B4C" w:rsidRPr="00FF7392">
        <w:rPr>
          <w:rFonts w:ascii="Arial" w:eastAsia="Times New Roman" w:hAnsi="Arial" w:cs="Arial"/>
          <w:sz w:val="18"/>
          <w:szCs w:val="18"/>
          <w:shd w:val="clear" w:color="auto" w:fill="FFFFFF"/>
        </w:rPr>
        <w:t xml:space="preserve">, </w:t>
      </w:r>
      <w:r w:rsidRPr="00FF7392">
        <w:rPr>
          <w:rFonts w:ascii="Arial" w:eastAsia="Times New Roman" w:hAnsi="Arial" w:cs="Arial"/>
          <w:sz w:val="18"/>
          <w:szCs w:val="18"/>
          <w:shd w:val="clear" w:color="auto" w:fill="FFFFFF"/>
        </w:rPr>
        <w:t>Pat</w:t>
      </w:r>
      <w:r w:rsidR="00E34B4C" w:rsidRPr="00FF7392">
        <w:rPr>
          <w:rFonts w:ascii="Arial" w:eastAsia="Times New Roman" w:hAnsi="Arial" w:cs="Arial"/>
          <w:sz w:val="18"/>
          <w:szCs w:val="18"/>
          <w:shd w:val="clear" w:color="auto" w:fill="FFFFFF"/>
        </w:rPr>
        <w:t xml:space="preserve"> proposed preparing a list of titles “</w:t>
      </w:r>
      <w:r w:rsidRPr="00FF7392">
        <w:rPr>
          <w:rFonts w:ascii="Arial" w:eastAsia="Times New Roman" w:hAnsi="Arial" w:cs="Arial"/>
          <w:sz w:val="18"/>
          <w:szCs w:val="18"/>
          <w:shd w:val="clear" w:color="auto" w:fill="FFFFFF"/>
        </w:rPr>
        <w:t>without which we cannot operate.”</w:t>
      </w:r>
    </w:p>
    <w:p w:rsidR="00FF7392" w:rsidRDefault="00E34B4C" w:rsidP="00B95862">
      <w:pPr>
        <w:rPr>
          <w:rFonts w:ascii="Times New Roman" w:eastAsia="Times New Roman" w:hAnsi="Times New Roman" w:cs="Times New Roman"/>
          <w:sz w:val="24"/>
          <w:szCs w:val="24"/>
        </w:rPr>
      </w:pPr>
      <w:r w:rsidRPr="00FF7392">
        <w:rPr>
          <w:rFonts w:ascii="Arial" w:eastAsia="Times New Roman" w:hAnsi="Arial" w:cs="Arial"/>
          <w:sz w:val="18"/>
          <w:szCs w:val="18"/>
        </w:rPr>
        <w:br/>
        <w:t xml:space="preserve">This principle has defined the core list through four subsequent editions. Throughout the </w:t>
      </w:r>
      <w:r w:rsidR="00972D4D" w:rsidRPr="00FF7392">
        <w:rPr>
          <w:rFonts w:ascii="Arial" w:eastAsia="Times New Roman" w:hAnsi="Arial" w:cs="Arial"/>
          <w:sz w:val="18"/>
          <w:szCs w:val="18"/>
        </w:rPr>
        <w:t>list revision cycles</w:t>
      </w:r>
      <w:r w:rsidRPr="00FF7392">
        <w:rPr>
          <w:rFonts w:ascii="Arial" w:eastAsia="Times New Roman" w:hAnsi="Arial" w:cs="Arial"/>
          <w:sz w:val="18"/>
          <w:szCs w:val="18"/>
        </w:rPr>
        <w:t xml:space="preserve">, </w:t>
      </w:r>
      <w:r w:rsidR="00DD3926" w:rsidRPr="00FF7392">
        <w:rPr>
          <w:rFonts w:ascii="Arial" w:eastAsia="Times New Roman" w:hAnsi="Arial" w:cs="Arial"/>
          <w:sz w:val="18"/>
          <w:szCs w:val="18"/>
        </w:rPr>
        <w:t xml:space="preserve">team members’ professional experience and </w:t>
      </w:r>
      <w:r w:rsidRPr="00FF7392">
        <w:rPr>
          <w:rFonts w:ascii="Arial" w:eastAsia="Times New Roman" w:hAnsi="Arial" w:cs="Arial"/>
          <w:sz w:val="18"/>
          <w:szCs w:val="18"/>
        </w:rPr>
        <w:t>knowledge of the current state of architecture</w:t>
      </w:r>
      <w:r w:rsidR="00DD3926" w:rsidRPr="00FF7392">
        <w:rPr>
          <w:rFonts w:ascii="Arial" w:eastAsia="Times New Roman" w:hAnsi="Arial" w:cs="Arial"/>
          <w:sz w:val="18"/>
          <w:szCs w:val="18"/>
        </w:rPr>
        <w:t>, informed by</w:t>
      </w:r>
      <w:r w:rsidRPr="00FF7392">
        <w:rPr>
          <w:rFonts w:ascii="Arial" w:eastAsia="Times New Roman" w:hAnsi="Arial" w:cs="Arial"/>
          <w:sz w:val="18"/>
          <w:szCs w:val="18"/>
        </w:rPr>
        <w:t xml:space="preserve"> </w:t>
      </w:r>
      <w:r w:rsidR="00DD3926" w:rsidRPr="00FF7392">
        <w:rPr>
          <w:rFonts w:ascii="Arial" w:eastAsia="Times New Roman" w:hAnsi="Arial" w:cs="Arial"/>
          <w:sz w:val="18"/>
          <w:szCs w:val="18"/>
        </w:rPr>
        <w:t>survey, listserv, and other input from members, have</w:t>
      </w:r>
      <w:r w:rsidRPr="00FF7392">
        <w:rPr>
          <w:rFonts w:ascii="Arial" w:eastAsia="Times New Roman" w:hAnsi="Arial" w:cs="Arial"/>
          <w:sz w:val="18"/>
          <w:szCs w:val="18"/>
        </w:rPr>
        <w:t xml:space="preserve"> been key. </w:t>
      </w:r>
      <w:r w:rsidR="00FF7392" w:rsidRPr="00FF7392">
        <w:rPr>
          <w:rFonts w:ascii="Arial" w:eastAsia="Times New Roman" w:hAnsi="Arial" w:cs="Arial"/>
          <w:sz w:val="18"/>
          <w:szCs w:val="18"/>
          <w:shd w:val="clear" w:color="auto" w:fill="FFFFFF"/>
        </w:rPr>
        <w:t>Work on the list’s 5</w:t>
      </w:r>
      <w:r w:rsidR="00FF7392" w:rsidRPr="00FF7392">
        <w:rPr>
          <w:rFonts w:ascii="Arial" w:eastAsia="Times New Roman" w:hAnsi="Arial" w:cs="Arial"/>
          <w:sz w:val="18"/>
          <w:szCs w:val="18"/>
          <w:shd w:val="clear" w:color="auto" w:fill="FFFFFF"/>
          <w:vertAlign w:val="superscript"/>
        </w:rPr>
        <w:t>th</w:t>
      </w:r>
      <w:r w:rsidR="00FF7392" w:rsidRPr="00FF7392">
        <w:rPr>
          <w:rFonts w:ascii="Arial" w:eastAsia="Times New Roman" w:hAnsi="Arial" w:cs="Arial"/>
          <w:sz w:val="18"/>
          <w:szCs w:val="18"/>
          <w:shd w:val="clear" w:color="auto" w:fill="FFFFFF"/>
        </w:rPr>
        <w:t xml:space="preserve"> edition began after the annual meeting in 2014, with survey data gathered from faculty via </w:t>
      </w:r>
      <w:r w:rsidR="00FF7392" w:rsidRPr="00FF7392">
        <w:rPr>
          <w:rFonts w:ascii="Arial" w:eastAsia="Times New Roman" w:hAnsi="Arial" w:cs="Arial"/>
          <w:i/>
          <w:iCs/>
          <w:sz w:val="18"/>
          <w:szCs w:val="18"/>
          <w:shd w:val="clear" w:color="auto" w:fill="FFFFFF"/>
        </w:rPr>
        <w:t>ACSA News</w:t>
      </w:r>
      <w:r w:rsidR="00FF7392" w:rsidRPr="00FF7392">
        <w:rPr>
          <w:rFonts w:ascii="Arial" w:eastAsia="Times New Roman" w:hAnsi="Arial" w:cs="Arial"/>
          <w:sz w:val="18"/>
          <w:szCs w:val="18"/>
          <w:shd w:val="clear" w:color="auto" w:fill="FFFFFF"/>
        </w:rPr>
        <w:t xml:space="preserve"> combined with input from both AASL and ARLIS/NA members via organization </w:t>
      </w:r>
      <w:proofErr w:type="spellStart"/>
      <w:r w:rsidR="00FF7392" w:rsidRPr="00FF7392">
        <w:rPr>
          <w:rFonts w:ascii="Arial" w:eastAsia="Times New Roman" w:hAnsi="Arial" w:cs="Arial"/>
          <w:sz w:val="18"/>
          <w:szCs w:val="18"/>
          <w:shd w:val="clear" w:color="auto" w:fill="FFFFFF"/>
        </w:rPr>
        <w:t>listservs</w:t>
      </w:r>
      <w:proofErr w:type="spellEnd"/>
      <w:r w:rsidR="00FF7392" w:rsidRPr="00FF7392">
        <w:rPr>
          <w:rFonts w:ascii="Arial" w:eastAsia="Times New Roman" w:hAnsi="Arial" w:cs="Arial"/>
          <w:sz w:val="18"/>
          <w:szCs w:val="18"/>
          <w:shd w:val="clear" w:color="auto" w:fill="FFFFFF"/>
        </w:rPr>
        <w:t xml:space="preserve">. </w:t>
      </w:r>
    </w:p>
    <w:p w:rsidR="00B95862" w:rsidRPr="00B95862" w:rsidRDefault="00B95862" w:rsidP="00B95862">
      <w:pPr>
        <w:rPr>
          <w:rFonts w:ascii="Times New Roman" w:eastAsia="Times New Roman" w:hAnsi="Times New Roman" w:cs="Times New Roman"/>
          <w:sz w:val="24"/>
          <w:szCs w:val="24"/>
        </w:rPr>
      </w:pPr>
    </w:p>
    <w:p w:rsidR="00354BFD" w:rsidRPr="00FF7392" w:rsidRDefault="00E34B4C" w:rsidP="00E34B4C">
      <w:pPr>
        <w:shd w:val="clear" w:color="auto" w:fill="FFFFFF"/>
        <w:spacing w:after="240"/>
        <w:rPr>
          <w:rFonts w:ascii="Arial" w:eastAsia="Times New Roman" w:hAnsi="Arial" w:cs="Arial"/>
          <w:sz w:val="18"/>
          <w:szCs w:val="18"/>
        </w:rPr>
      </w:pPr>
      <w:r w:rsidRPr="00FF7392">
        <w:rPr>
          <w:rFonts w:ascii="Arial" w:eastAsia="Times New Roman" w:hAnsi="Arial" w:cs="Arial"/>
          <w:sz w:val="18"/>
          <w:szCs w:val="18"/>
        </w:rPr>
        <w:t xml:space="preserve">The compilers of the </w:t>
      </w:r>
      <w:r w:rsidR="0007707E" w:rsidRPr="00FF7392">
        <w:rPr>
          <w:rFonts w:ascii="Arial" w:eastAsia="Times New Roman" w:hAnsi="Arial" w:cs="Arial"/>
          <w:sz w:val="18"/>
          <w:szCs w:val="18"/>
        </w:rPr>
        <w:t>5</w:t>
      </w:r>
      <w:r w:rsidR="0007707E" w:rsidRPr="00FF7392">
        <w:rPr>
          <w:rFonts w:ascii="Arial" w:eastAsia="Times New Roman" w:hAnsi="Arial" w:cs="Arial"/>
          <w:sz w:val="18"/>
          <w:szCs w:val="18"/>
          <w:vertAlign w:val="superscript"/>
        </w:rPr>
        <w:t>th</w:t>
      </w:r>
      <w:r w:rsidR="0007707E" w:rsidRPr="00FF7392">
        <w:rPr>
          <w:rFonts w:ascii="Arial" w:eastAsia="Times New Roman" w:hAnsi="Arial" w:cs="Arial"/>
          <w:sz w:val="18"/>
          <w:szCs w:val="18"/>
        </w:rPr>
        <w:t xml:space="preserve"> </w:t>
      </w:r>
      <w:r w:rsidRPr="00FF7392">
        <w:rPr>
          <w:rFonts w:ascii="Arial" w:eastAsia="Times New Roman" w:hAnsi="Arial" w:cs="Arial"/>
          <w:sz w:val="18"/>
          <w:szCs w:val="18"/>
        </w:rPr>
        <w:t>edition-</w:t>
      </w:r>
      <w:r w:rsidR="00B95862">
        <w:rPr>
          <w:rFonts w:ascii="Arial" w:eastAsia="Times New Roman" w:hAnsi="Arial" w:cs="Arial"/>
          <w:sz w:val="18"/>
          <w:szCs w:val="18"/>
        </w:rPr>
        <w:t>-</w:t>
      </w:r>
      <w:r w:rsidRPr="00FF7392">
        <w:rPr>
          <w:rFonts w:ascii="Arial" w:eastAsia="Times New Roman" w:hAnsi="Arial" w:cs="Arial"/>
          <w:sz w:val="18"/>
          <w:szCs w:val="18"/>
        </w:rPr>
        <w:t xml:space="preserve"> </w:t>
      </w:r>
      <w:r w:rsidR="00B95862" w:rsidRPr="00FF7392">
        <w:rPr>
          <w:rFonts w:ascii="Arial" w:eastAsia="Times New Roman" w:hAnsi="Arial" w:cs="Arial"/>
          <w:sz w:val="18"/>
          <w:szCs w:val="18"/>
        </w:rPr>
        <w:t xml:space="preserve">Barbara </w:t>
      </w:r>
      <w:proofErr w:type="spellStart"/>
      <w:r w:rsidR="00B95862" w:rsidRPr="00FF7392">
        <w:rPr>
          <w:rFonts w:ascii="Arial" w:eastAsia="Times New Roman" w:hAnsi="Arial" w:cs="Arial"/>
          <w:sz w:val="18"/>
          <w:szCs w:val="18"/>
        </w:rPr>
        <w:t>Opar</w:t>
      </w:r>
      <w:proofErr w:type="spellEnd"/>
      <w:r w:rsidR="00B95862" w:rsidRPr="00FF7392">
        <w:rPr>
          <w:rFonts w:ascii="Arial" w:eastAsia="Times New Roman" w:hAnsi="Arial" w:cs="Arial"/>
          <w:sz w:val="18"/>
          <w:szCs w:val="18"/>
        </w:rPr>
        <w:t xml:space="preserve"> of Syracuse University</w:t>
      </w:r>
      <w:r w:rsidR="00B95862">
        <w:rPr>
          <w:rFonts w:ascii="Arial" w:eastAsia="Times New Roman" w:hAnsi="Arial" w:cs="Arial"/>
          <w:sz w:val="18"/>
          <w:szCs w:val="18"/>
        </w:rPr>
        <w:t xml:space="preserve">, </w:t>
      </w:r>
      <w:r w:rsidRPr="00FF7392">
        <w:rPr>
          <w:rFonts w:ascii="Arial" w:eastAsia="Times New Roman" w:hAnsi="Arial" w:cs="Arial"/>
          <w:sz w:val="18"/>
          <w:szCs w:val="18"/>
        </w:rPr>
        <w:t xml:space="preserve">Kathy Edwards of Clemson University, </w:t>
      </w:r>
      <w:r w:rsidR="00B95862">
        <w:rPr>
          <w:rFonts w:ascii="Arial" w:eastAsia="Times New Roman" w:hAnsi="Arial" w:cs="Arial"/>
          <w:sz w:val="18"/>
          <w:szCs w:val="18"/>
        </w:rPr>
        <w:t xml:space="preserve">and </w:t>
      </w:r>
      <w:r w:rsidRPr="00FF7392">
        <w:rPr>
          <w:rFonts w:ascii="Arial" w:eastAsia="Times New Roman" w:hAnsi="Arial" w:cs="Arial"/>
          <w:sz w:val="18"/>
          <w:szCs w:val="18"/>
        </w:rPr>
        <w:t xml:space="preserve">Rose Orcutt </w:t>
      </w:r>
      <w:r w:rsidR="00B95862">
        <w:rPr>
          <w:rFonts w:ascii="Arial" w:eastAsia="Times New Roman" w:hAnsi="Arial" w:cs="Arial"/>
          <w:sz w:val="18"/>
          <w:szCs w:val="18"/>
        </w:rPr>
        <w:t>of the University of Buffalo</w:t>
      </w:r>
      <w:r w:rsidRPr="00FF7392">
        <w:rPr>
          <w:rFonts w:ascii="Arial" w:eastAsia="Times New Roman" w:hAnsi="Arial" w:cs="Arial"/>
          <w:sz w:val="18"/>
          <w:szCs w:val="18"/>
        </w:rPr>
        <w:t>–</w:t>
      </w:r>
      <w:r w:rsidR="00DD3926" w:rsidRPr="00FF7392">
        <w:rPr>
          <w:rFonts w:ascii="Arial" w:eastAsia="Times New Roman" w:hAnsi="Arial" w:cs="Arial"/>
          <w:sz w:val="18"/>
          <w:szCs w:val="18"/>
        </w:rPr>
        <w:t xml:space="preserve">also </w:t>
      </w:r>
      <w:r w:rsidRPr="00FF7392">
        <w:rPr>
          <w:rFonts w:ascii="Arial" w:eastAsia="Times New Roman" w:hAnsi="Arial" w:cs="Arial"/>
          <w:sz w:val="18"/>
          <w:szCs w:val="18"/>
        </w:rPr>
        <w:t xml:space="preserve">expanded the </w:t>
      </w:r>
      <w:r w:rsidR="00972D4D" w:rsidRPr="00FF7392">
        <w:rPr>
          <w:rFonts w:ascii="Arial" w:eastAsia="Times New Roman" w:hAnsi="Arial" w:cs="Arial"/>
          <w:sz w:val="18"/>
          <w:szCs w:val="18"/>
        </w:rPr>
        <w:t xml:space="preserve">scope of </w:t>
      </w:r>
      <w:r w:rsidRPr="00FF7392">
        <w:rPr>
          <w:rFonts w:ascii="Arial" w:eastAsia="Times New Roman" w:hAnsi="Arial" w:cs="Arial"/>
          <w:sz w:val="18"/>
          <w:szCs w:val="18"/>
        </w:rPr>
        <w:t>data they gathered about each title</w:t>
      </w:r>
      <w:r w:rsidR="00DD3926" w:rsidRPr="00FF7392">
        <w:rPr>
          <w:rFonts w:ascii="Arial" w:eastAsia="Times New Roman" w:hAnsi="Arial" w:cs="Arial"/>
          <w:sz w:val="18"/>
          <w:szCs w:val="18"/>
        </w:rPr>
        <w:t xml:space="preserve"> beyond that provided in earlier lists</w:t>
      </w:r>
      <w:r w:rsidRPr="00FF7392">
        <w:rPr>
          <w:rFonts w:ascii="Arial" w:eastAsia="Times New Roman" w:hAnsi="Arial" w:cs="Arial"/>
          <w:sz w:val="18"/>
          <w:szCs w:val="18"/>
        </w:rPr>
        <w:t xml:space="preserve">. The availability of indexing as well as format (print, electronic) </w:t>
      </w:r>
      <w:r w:rsidR="00603FBB" w:rsidRPr="00FF7392">
        <w:rPr>
          <w:rFonts w:ascii="Arial" w:eastAsia="Times New Roman" w:hAnsi="Arial" w:cs="Arial"/>
          <w:sz w:val="18"/>
          <w:szCs w:val="18"/>
        </w:rPr>
        <w:t>influenced list selections, as did t</w:t>
      </w:r>
      <w:r w:rsidRPr="00FF7392">
        <w:rPr>
          <w:rFonts w:ascii="Arial" w:eastAsia="Times New Roman" w:hAnsi="Arial" w:cs="Arial"/>
          <w:sz w:val="18"/>
          <w:szCs w:val="18"/>
        </w:rPr>
        <w:t xml:space="preserve">he quality </w:t>
      </w:r>
      <w:r w:rsidR="00603FBB" w:rsidRPr="00FF7392">
        <w:rPr>
          <w:rFonts w:ascii="Arial" w:eastAsia="Times New Roman" w:hAnsi="Arial" w:cs="Arial"/>
          <w:sz w:val="18"/>
          <w:szCs w:val="18"/>
        </w:rPr>
        <w:t xml:space="preserve">and extent </w:t>
      </w:r>
      <w:r w:rsidRPr="00FF7392">
        <w:rPr>
          <w:rFonts w:ascii="Arial" w:eastAsia="Times New Roman" w:hAnsi="Arial" w:cs="Arial"/>
          <w:sz w:val="18"/>
          <w:szCs w:val="18"/>
        </w:rPr>
        <w:t>of graphic documentation (e.g. plan</w:t>
      </w:r>
      <w:r w:rsidR="00603FBB" w:rsidRPr="00FF7392">
        <w:rPr>
          <w:rFonts w:ascii="Arial" w:eastAsia="Times New Roman" w:hAnsi="Arial" w:cs="Arial"/>
          <w:sz w:val="18"/>
          <w:szCs w:val="18"/>
        </w:rPr>
        <w:t xml:space="preserve">s, sections, notation of scale), image quality, the </w:t>
      </w:r>
      <w:r w:rsidRPr="00FF7392">
        <w:rPr>
          <w:rFonts w:ascii="Arial" w:eastAsia="Times New Roman" w:hAnsi="Arial" w:cs="Arial"/>
          <w:sz w:val="18"/>
          <w:szCs w:val="18"/>
        </w:rPr>
        <w:t xml:space="preserve">length </w:t>
      </w:r>
      <w:r w:rsidR="00603FBB" w:rsidRPr="00FF7392">
        <w:rPr>
          <w:rFonts w:ascii="Arial" w:eastAsia="Times New Roman" w:hAnsi="Arial" w:cs="Arial"/>
          <w:sz w:val="18"/>
          <w:szCs w:val="18"/>
        </w:rPr>
        <w:t xml:space="preserve">and substance </w:t>
      </w:r>
      <w:r w:rsidRPr="00FF7392">
        <w:rPr>
          <w:rFonts w:ascii="Arial" w:eastAsia="Times New Roman" w:hAnsi="Arial" w:cs="Arial"/>
          <w:sz w:val="18"/>
          <w:szCs w:val="18"/>
        </w:rPr>
        <w:t>of articles</w:t>
      </w:r>
      <w:r w:rsidR="00603FBB" w:rsidRPr="00FF7392">
        <w:rPr>
          <w:rFonts w:ascii="Arial" w:eastAsia="Times New Roman" w:hAnsi="Arial" w:cs="Arial"/>
          <w:sz w:val="18"/>
          <w:szCs w:val="18"/>
        </w:rPr>
        <w:t xml:space="preserve"> and project coverage</w:t>
      </w:r>
      <w:r w:rsidRPr="00FF7392">
        <w:rPr>
          <w:rFonts w:ascii="Arial" w:eastAsia="Times New Roman" w:hAnsi="Arial" w:cs="Arial"/>
          <w:sz w:val="18"/>
          <w:szCs w:val="18"/>
        </w:rPr>
        <w:t>, notable contributors</w:t>
      </w:r>
      <w:r w:rsidR="00603FBB" w:rsidRPr="00FF7392">
        <w:rPr>
          <w:rFonts w:ascii="Arial" w:eastAsia="Times New Roman" w:hAnsi="Arial" w:cs="Arial"/>
          <w:sz w:val="18"/>
          <w:szCs w:val="18"/>
        </w:rPr>
        <w:t xml:space="preserve">, and the extent of geographical coverage. </w:t>
      </w:r>
      <w:r w:rsidR="00DD3926" w:rsidRPr="00FF7392">
        <w:rPr>
          <w:rFonts w:ascii="Arial" w:eastAsia="Times New Roman" w:hAnsi="Arial" w:cs="Arial"/>
          <w:sz w:val="18"/>
          <w:szCs w:val="18"/>
        </w:rPr>
        <w:t xml:space="preserve">Overall publication quality, robustness, reputation, and longevity mattered. </w:t>
      </w:r>
      <w:r w:rsidR="00FF7392">
        <w:rPr>
          <w:rFonts w:ascii="Arial" w:eastAsia="Times New Roman" w:hAnsi="Arial" w:cs="Arial"/>
          <w:sz w:val="18"/>
          <w:szCs w:val="18"/>
        </w:rPr>
        <w:t>New in this addition are</w:t>
      </w:r>
      <w:r w:rsidR="00603FBB" w:rsidRPr="00FF7392">
        <w:rPr>
          <w:rFonts w:ascii="Arial" w:eastAsia="Times New Roman" w:hAnsi="Arial" w:cs="Arial"/>
          <w:sz w:val="18"/>
          <w:szCs w:val="18"/>
        </w:rPr>
        <w:t xml:space="preserve"> language inf</w:t>
      </w:r>
      <w:r w:rsidR="00DD3926" w:rsidRPr="00FF7392">
        <w:rPr>
          <w:rFonts w:ascii="Arial" w:eastAsia="Times New Roman" w:hAnsi="Arial" w:cs="Arial"/>
          <w:sz w:val="18"/>
          <w:szCs w:val="18"/>
        </w:rPr>
        <w:t xml:space="preserve">ormation, peer review status, </w:t>
      </w:r>
      <w:r w:rsidRPr="00FF7392">
        <w:rPr>
          <w:rFonts w:ascii="Arial" w:eastAsia="Times New Roman" w:hAnsi="Arial" w:cs="Arial"/>
          <w:sz w:val="18"/>
          <w:szCs w:val="18"/>
        </w:rPr>
        <w:t>impact data</w:t>
      </w:r>
      <w:r w:rsidR="00DD3926" w:rsidRPr="00FF7392">
        <w:rPr>
          <w:rFonts w:ascii="Arial" w:eastAsia="Times New Roman" w:hAnsi="Arial" w:cs="Arial"/>
          <w:sz w:val="18"/>
          <w:szCs w:val="18"/>
        </w:rPr>
        <w:t xml:space="preserve"> (when available)</w:t>
      </w:r>
      <w:r w:rsidR="00603FBB" w:rsidRPr="00FF7392">
        <w:rPr>
          <w:rFonts w:ascii="Arial" w:eastAsia="Times New Roman" w:hAnsi="Arial" w:cs="Arial"/>
          <w:sz w:val="18"/>
          <w:szCs w:val="18"/>
        </w:rPr>
        <w:t>, publication frequency, and other notations</w:t>
      </w:r>
      <w:r w:rsidRPr="00FF7392">
        <w:rPr>
          <w:rFonts w:ascii="Arial" w:eastAsia="Times New Roman" w:hAnsi="Arial" w:cs="Arial"/>
          <w:sz w:val="18"/>
          <w:szCs w:val="18"/>
        </w:rPr>
        <w:t>.</w:t>
      </w:r>
      <w:r w:rsidR="0007707E" w:rsidRPr="00FF7392">
        <w:rPr>
          <w:rFonts w:ascii="Arial" w:eastAsia="Times New Roman" w:hAnsi="Arial" w:cs="Arial"/>
          <w:sz w:val="18"/>
          <w:szCs w:val="18"/>
        </w:rPr>
        <w:t xml:space="preserve"> </w:t>
      </w:r>
      <w:r w:rsidR="00FF7392">
        <w:rPr>
          <w:rFonts w:ascii="Arial" w:eastAsia="Times New Roman" w:hAnsi="Arial" w:cs="Arial"/>
          <w:sz w:val="18"/>
          <w:szCs w:val="18"/>
        </w:rPr>
        <w:t>(See criteria, below)</w:t>
      </w:r>
      <w:r w:rsidR="00B95862">
        <w:rPr>
          <w:rFonts w:ascii="Arial" w:eastAsia="Times New Roman" w:hAnsi="Arial" w:cs="Arial"/>
          <w:sz w:val="18"/>
          <w:szCs w:val="18"/>
        </w:rPr>
        <w:t xml:space="preserve">. </w:t>
      </w:r>
      <w:r w:rsidR="00FF7392">
        <w:rPr>
          <w:rFonts w:ascii="Arial" w:eastAsia="Times New Roman" w:hAnsi="Arial" w:cs="Arial"/>
          <w:sz w:val="18"/>
          <w:szCs w:val="18"/>
        </w:rPr>
        <w:t>B</w:t>
      </w:r>
      <w:r w:rsidR="00B95862">
        <w:rPr>
          <w:rFonts w:ascii="Arial" w:eastAsia="Times New Roman" w:hAnsi="Arial" w:cs="Arial"/>
          <w:sz w:val="18"/>
          <w:szCs w:val="18"/>
        </w:rPr>
        <w:t>rowsing statistics for</w:t>
      </w:r>
      <w:r w:rsidR="0007707E" w:rsidRPr="00FF7392">
        <w:rPr>
          <w:rFonts w:ascii="Arial" w:eastAsia="Times New Roman" w:hAnsi="Arial" w:cs="Arial"/>
          <w:sz w:val="18"/>
          <w:szCs w:val="18"/>
        </w:rPr>
        <w:t xml:space="preserve"> current print titles </w:t>
      </w:r>
      <w:r w:rsidR="00FF7392">
        <w:rPr>
          <w:rFonts w:ascii="Arial" w:eastAsia="Times New Roman" w:hAnsi="Arial" w:cs="Arial"/>
          <w:sz w:val="18"/>
          <w:szCs w:val="18"/>
        </w:rPr>
        <w:t xml:space="preserve">were also factored in, based on </w:t>
      </w:r>
      <w:r w:rsidR="00B95862">
        <w:rPr>
          <w:rFonts w:ascii="Arial" w:eastAsia="Times New Roman" w:hAnsi="Arial" w:cs="Arial"/>
          <w:sz w:val="18"/>
          <w:szCs w:val="18"/>
        </w:rPr>
        <w:t xml:space="preserve">Barbara’s </w:t>
      </w:r>
      <w:r w:rsidR="00FF7392">
        <w:rPr>
          <w:rFonts w:ascii="Arial" w:eastAsia="Times New Roman" w:hAnsi="Arial" w:cs="Arial"/>
          <w:sz w:val="18"/>
          <w:szCs w:val="18"/>
        </w:rPr>
        <w:t xml:space="preserve">observation </w:t>
      </w:r>
      <w:r w:rsidR="00B95862">
        <w:rPr>
          <w:rFonts w:ascii="Arial" w:eastAsia="Times New Roman" w:hAnsi="Arial" w:cs="Arial"/>
          <w:sz w:val="18"/>
          <w:szCs w:val="18"/>
        </w:rPr>
        <w:t xml:space="preserve">at Syracuse </w:t>
      </w:r>
      <w:r w:rsidR="0007707E" w:rsidRPr="00FF7392">
        <w:rPr>
          <w:rFonts w:ascii="Arial" w:eastAsia="Times New Roman" w:hAnsi="Arial" w:cs="Arial"/>
          <w:sz w:val="18"/>
          <w:szCs w:val="18"/>
        </w:rPr>
        <w:t>that patrons</w:t>
      </w:r>
      <w:r w:rsidR="00B95862">
        <w:rPr>
          <w:rFonts w:ascii="Arial" w:eastAsia="Times New Roman" w:hAnsi="Arial" w:cs="Arial"/>
          <w:sz w:val="18"/>
          <w:szCs w:val="18"/>
        </w:rPr>
        <w:t>’</w:t>
      </w:r>
      <w:r w:rsidR="0007707E" w:rsidRPr="00FF7392">
        <w:rPr>
          <w:rFonts w:ascii="Arial" w:eastAsia="Times New Roman" w:hAnsi="Arial" w:cs="Arial"/>
          <w:sz w:val="18"/>
          <w:szCs w:val="18"/>
        </w:rPr>
        <w:t xml:space="preserve"> </w:t>
      </w:r>
      <w:r w:rsidR="00B95862">
        <w:rPr>
          <w:rFonts w:ascii="Arial" w:eastAsia="Times New Roman" w:hAnsi="Arial" w:cs="Arial"/>
          <w:sz w:val="18"/>
          <w:szCs w:val="18"/>
        </w:rPr>
        <w:t>browsing habits frequently extend beyond</w:t>
      </w:r>
      <w:r w:rsidR="0007707E" w:rsidRPr="00FF7392">
        <w:rPr>
          <w:rFonts w:ascii="Arial" w:eastAsia="Times New Roman" w:hAnsi="Arial" w:cs="Arial"/>
          <w:sz w:val="18"/>
          <w:szCs w:val="18"/>
        </w:rPr>
        <w:t xml:space="preserve"> </w:t>
      </w:r>
      <w:r w:rsidR="00B95862">
        <w:rPr>
          <w:rFonts w:ascii="Arial" w:eastAsia="Times New Roman" w:hAnsi="Arial" w:cs="Arial"/>
          <w:sz w:val="18"/>
          <w:szCs w:val="18"/>
        </w:rPr>
        <w:t>key titles</w:t>
      </w:r>
      <w:r w:rsidR="0007707E" w:rsidRPr="00FF7392">
        <w:rPr>
          <w:rFonts w:ascii="Arial" w:eastAsia="Times New Roman" w:hAnsi="Arial" w:cs="Arial"/>
          <w:sz w:val="18"/>
          <w:szCs w:val="18"/>
        </w:rPr>
        <w:t xml:space="preserve">. </w:t>
      </w:r>
    </w:p>
    <w:p w:rsidR="000C0386" w:rsidRPr="00FF7392" w:rsidRDefault="00FF7392" w:rsidP="00E34B4C">
      <w:pPr>
        <w:shd w:val="clear" w:color="auto" w:fill="FFFFFF"/>
        <w:spacing w:after="240"/>
        <w:rPr>
          <w:rFonts w:ascii="Arial" w:eastAsia="Times New Roman" w:hAnsi="Arial" w:cs="Arial"/>
          <w:sz w:val="18"/>
          <w:szCs w:val="18"/>
        </w:rPr>
      </w:pPr>
      <w:r>
        <w:rPr>
          <w:rFonts w:ascii="Arial" w:eastAsia="Times New Roman" w:hAnsi="Arial" w:cs="Arial"/>
          <w:sz w:val="18"/>
          <w:szCs w:val="18"/>
        </w:rPr>
        <w:t>I</w:t>
      </w:r>
      <w:r w:rsidRPr="00FF7392">
        <w:rPr>
          <w:rFonts w:ascii="Arial" w:eastAsia="Times New Roman" w:hAnsi="Arial" w:cs="Arial"/>
          <w:sz w:val="18"/>
          <w:szCs w:val="18"/>
        </w:rPr>
        <w:t xml:space="preserve">n survey responses and in conference discussions that followed annual list-work updates, some librarians </w:t>
      </w:r>
      <w:r w:rsidR="00037CB7">
        <w:rPr>
          <w:rFonts w:ascii="Arial" w:eastAsia="Times New Roman" w:hAnsi="Arial" w:cs="Arial"/>
          <w:sz w:val="18"/>
          <w:szCs w:val="18"/>
        </w:rPr>
        <w:t>expressed</w:t>
      </w:r>
      <w:r w:rsidRPr="00FF7392">
        <w:rPr>
          <w:rFonts w:ascii="Arial" w:eastAsia="Times New Roman" w:hAnsi="Arial" w:cs="Arial"/>
          <w:sz w:val="18"/>
          <w:szCs w:val="18"/>
        </w:rPr>
        <w:t xml:space="preserve"> </w:t>
      </w:r>
      <w:r w:rsidR="00037CB7">
        <w:rPr>
          <w:rFonts w:ascii="Arial" w:eastAsia="Times New Roman" w:hAnsi="Arial" w:cs="Arial"/>
          <w:sz w:val="18"/>
          <w:szCs w:val="18"/>
        </w:rPr>
        <w:t>deficiencies</w:t>
      </w:r>
      <w:r w:rsidR="00BD3C39">
        <w:rPr>
          <w:rFonts w:ascii="Arial" w:eastAsia="Times New Roman" w:hAnsi="Arial" w:cs="Arial"/>
          <w:sz w:val="18"/>
          <w:szCs w:val="18"/>
        </w:rPr>
        <w:t xml:space="preserve"> in</w:t>
      </w:r>
      <w:r w:rsidRPr="00FF7392">
        <w:rPr>
          <w:rFonts w:ascii="Arial" w:eastAsia="Times New Roman" w:hAnsi="Arial" w:cs="Arial"/>
          <w:sz w:val="18"/>
          <w:szCs w:val="18"/>
        </w:rPr>
        <w:t xml:space="preserve"> the longstanding categories of ‘core’ and ‘supplementary’. </w:t>
      </w:r>
      <w:r w:rsidR="00DD3926" w:rsidRPr="00FF7392">
        <w:rPr>
          <w:rFonts w:ascii="Arial" w:eastAsia="Times New Roman" w:hAnsi="Arial" w:cs="Arial"/>
          <w:sz w:val="18"/>
          <w:szCs w:val="18"/>
        </w:rPr>
        <w:t>T</w:t>
      </w:r>
      <w:r w:rsidR="000C0386" w:rsidRPr="00FF7392">
        <w:rPr>
          <w:rFonts w:ascii="Arial" w:eastAsia="Times New Roman" w:hAnsi="Arial" w:cs="Arial"/>
          <w:sz w:val="18"/>
          <w:szCs w:val="18"/>
        </w:rPr>
        <w:t xml:space="preserve">he list revision team </w:t>
      </w:r>
      <w:r w:rsidR="00037CB7">
        <w:rPr>
          <w:rFonts w:ascii="Arial" w:eastAsia="Times New Roman" w:hAnsi="Arial" w:cs="Arial"/>
          <w:sz w:val="18"/>
          <w:szCs w:val="18"/>
        </w:rPr>
        <w:t>listened</w:t>
      </w:r>
      <w:r w:rsidR="000C0386" w:rsidRPr="00FF7392">
        <w:rPr>
          <w:rFonts w:ascii="Arial" w:eastAsia="Times New Roman" w:hAnsi="Arial" w:cs="Arial"/>
          <w:sz w:val="18"/>
          <w:szCs w:val="18"/>
        </w:rPr>
        <w:t xml:space="preserve">, and after much discussion and consideration, devised the present categories of </w:t>
      </w:r>
      <w:r w:rsidR="00812FCF">
        <w:rPr>
          <w:rFonts w:ascii="Arial" w:eastAsia="Times New Roman" w:hAnsi="Arial" w:cs="Arial"/>
          <w:b/>
          <w:sz w:val="18"/>
          <w:szCs w:val="18"/>
        </w:rPr>
        <w:t>Fundamental</w:t>
      </w:r>
      <w:r w:rsidR="002412F9" w:rsidRPr="00FF7392">
        <w:rPr>
          <w:rFonts w:ascii="Arial" w:eastAsia="Times New Roman" w:hAnsi="Arial" w:cs="Arial"/>
          <w:bCs/>
          <w:sz w:val="18"/>
          <w:szCs w:val="18"/>
        </w:rPr>
        <w:t>,</w:t>
      </w:r>
      <w:r w:rsidR="002412F9" w:rsidRPr="00FF7392">
        <w:rPr>
          <w:rFonts w:ascii="Arial" w:eastAsia="Times New Roman" w:hAnsi="Arial" w:cs="Arial"/>
          <w:b/>
          <w:bCs/>
          <w:sz w:val="18"/>
          <w:szCs w:val="18"/>
        </w:rPr>
        <w:t xml:space="preserve"> R</w:t>
      </w:r>
      <w:r w:rsidR="000C0386" w:rsidRPr="00FF7392">
        <w:rPr>
          <w:rFonts w:ascii="Arial" w:eastAsia="Times New Roman" w:hAnsi="Arial" w:cs="Arial"/>
          <w:b/>
          <w:bCs/>
          <w:sz w:val="18"/>
          <w:szCs w:val="18"/>
        </w:rPr>
        <w:t>ecommended</w:t>
      </w:r>
      <w:r w:rsidR="002412F9" w:rsidRPr="00FF7392">
        <w:rPr>
          <w:rFonts w:ascii="Arial" w:eastAsia="Times New Roman" w:hAnsi="Arial" w:cs="Arial"/>
          <w:bCs/>
          <w:sz w:val="18"/>
          <w:szCs w:val="18"/>
        </w:rPr>
        <w:t>,</w:t>
      </w:r>
      <w:r w:rsidR="000C0386" w:rsidRPr="00FF7392">
        <w:rPr>
          <w:rFonts w:ascii="Arial" w:eastAsia="Times New Roman" w:hAnsi="Arial" w:cs="Arial"/>
          <w:bCs/>
          <w:sz w:val="18"/>
          <w:szCs w:val="18"/>
        </w:rPr>
        <w:t xml:space="preserve"> </w:t>
      </w:r>
      <w:r w:rsidR="002412F9" w:rsidRPr="00FF7392">
        <w:rPr>
          <w:rFonts w:ascii="Arial" w:eastAsia="Times New Roman" w:hAnsi="Arial" w:cs="Arial"/>
          <w:b/>
          <w:bCs/>
          <w:sz w:val="18"/>
          <w:szCs w:val="18"/>
        </w:rPr>
        <w:t>T</w:t>
      </w:r>
      <w:r w:rsidR="00E34B4C" w:rsidRPr="00FF7392">
        <w:rPr>
          <w:rFonts w:ascii="Arial" w:eastAsia="Times New Roman" w:hAnsi="Arial" w:cs="Arial"/>
          <w:b/>
          <w:bCs/>
          <w:sz w:val="18"/>
          <w:szCs w:val="18"/>
        </w:rPr>
        <w:t>opical</w:t>
      </w:r>
      <w:r w:rsidR="00B95862">
        <w:rPr>
          <w:rFonts w:ascii="Arial" w:eastAsia="Times New Roman" w:hAnsi="Arial" w:cs="Arial"/>
          <w:bCs/>
          <w:sz w:val="18"/>
          <w:szCs w:val="18"/>
        </w:rPr>
        <w:t xml:space="preserve">, and </w:t>
      </w:r>
      <w:r w:rsidR="00B95862">
        <w:rPr>
          <w:rFonts w:ascii="Arial" w:eastAsia="Times New Roman" w:hAnsi="Arial" w:cs="Arial"/>
          <w:b/>
          <w:bCs/>
          <w:sz w:val="18"/>
          <w:szCs w:val="18"/>
        </w:rPr>
        <w:t xml:space="preserve">Titles to watch. </w:t>
      </w:r>
    </w:p>
    <w:p w:rsidR="00B95862" w:rsidRDefault="00B95862" w:rsidP="00E34B4C">
      <w:pPr>
        <w:shd w:val="clear" w:color="auto" w:fill="FFFFFF"/>
        <w:spacing w:after="240"/>
        <w:rPr>
          <w:rFonts w:ascii="Arial" w:eastAsia="Times New Roman" w:hAnsi="Arial" w:cs="Arial"/>
          <w:b/>
          <w:sz w:val="18"/>
          <w:szCs w:val="18"/>
        </w:rPr>
      </w:pPr>
      <w:r>
        <w:rPr>
          <w:rFonts w:ascii="Arial" w:eastAsia="Times New Roman" w:hAnsi="Arial" w:cs="Arial"/>
          <w:b/>
          <w:sz w:val="18"/>
          <w:szCs w:val="18"/>
        </w:rPr>
        <w:t>Category Definitions:</w:t>
      </w:r>
    </w:p>
    <w:p w:rsidR="000C0386" w:rsidRPr="00FF7392" w:rsidRDefault="00812FCF" w:rsidP="00B95862">
      <w:pPr>
        <w:shd w:val="clear" w:color="auto" w:fill="FFFFFF"/>
        <w:spacing w:after="240"/>
        <w:ind w:left="720"/>
        <w:rPr>
          <w:rFonts w:ascii="Arial" w:eastAsia="Times New Roman" w:hAnsi="Arial" w:cs="Arial"/>
          <w:sz w:val="18"/>
          <w:szCs w:val="18"/>
        </w:rPr>
      </w:pPr>
      <w:r>
        <w:rPr>
          <w:rFonts w:ascii="Arial" w:eastAsia="Times New Roman" w:hAnsi="Arial" w:cs="Arial"/>
          <w:b/>
          <w:sz w:val="18"/>
          <w:szCs w:val="18"/>
        </w:rPr>
        <w:t>Fundamental</w:t>
      </w:r>
      <w:r w:rsidR="000C0386" w:rsidRPr="00FF7392">
        <w:rPr>
          <w:rFonts w:ascii="Arial" w:eastAsia="Times New Roman" w:hAnsi="Arial" w:cs="Arial"/>
          <w:b/>
          <w:sz w:val="18"/>
          <w:szCs w:val="18"/>
        </w:rPr>
        <w:t xml:space="preserve"> titles</w:t>
      </w:r>
      <w:r w:rsidR="000C0386" w:rsidRPr="00FF7392">
        <w:rPr>
          <w:rFonts w:ascii="Arial" w:eastAsia="Times New Roman" w:hAnsi="Arial" w:cs="Arial"/>
          <w:sz w:val="18"/>
          <w:szCs w:val="18"/>
        </w:rPr>
        <w:t xml:space="preserve"> are the best </w:t>
      </w:r>
      <w:r w:rsidR="002412F9" w:rsidRPr="00FF7392">
        <w:rPr>
          <w:rFonts w:ascii="Arial" w:eastAsia="Times New Roman" w:hAnsi="Arial" w:cs="Arial"/>
          <w:sz w:val="18"/>
          <w:szCs w:val="18"/>
        </w:rPr>
        <w:t>architecture and design publications reasonably accessible for academic libraries.</w:t>
      </w:r>
    </w:p>
    <w:p w:rsidR="000C0386" w:rsidRPr="00FF7392" w:rsidRDefault="000C0386" w:rsidP="00B95862">
      <w:pPr>
        <w:shd w:val="clear" w:color="auto" w:fill="FFFFFF"/>
        <w:spacing w:after="240"/>
        <w:ind w:left="720"/>
        <w:rPr>
          <w:rFonts w:ascii="Arial" w:eastAsia="Times New Roman" w:hAnsi="Arial" w:cs="Arial"/>
          <w:sz w:val="18"/>
          <w:szCs w:val="18"/>
        </w:rPr>
      </w:pPr>
      <w:r w:rsidRPr="00FF7392">
        <w:rPr>
          <w:rFonts w:ascii="Arial" w:eastAsia="Times New Roman" w:hAnsi="Arial" w:cs="Arial"/>
          <w:b/>
          <w:sz w:val="18"/>
          <w:szCs w:val="18"/>
        </w:rPr>
        <w:t>Recommended titles</w:t>
      </w:r>
      <w:r w:rsidR="003E2B8A" w:rsidRPr="00FF7392">
        <w:rPr>
          <w:rFonts w:ascii="Arial" w:eastAsia="Times New Roman" w:hAnsi="Arial" w:cs="Arial"/>
          <w:b/>
          <w:sz w:val="18"/>
          <w:szCs w:val="18"/>
        </w:rPr>
        <w:t xml:space="preserve"> </w:t>
      </w:r>
      <w:r w:rsidR="003E2B8A" w:rsidRPr="00FF7392">
        <w:rPr>
          <w:rFonts w:ascii="Arial" w:eastAsia="Times New Roman" w:hAnsi="Arial" w:cs="Arial"/>
          <w:sz w:val="18"/>
          <w:szCs w:val="18"/>
        </w:rPr>
        <w:t>extend a collection’s scope and reach to include</w:t>
      </w:r>
      <w:r w:rsidR="00FF7392" w:rsidRPr="00FF7392">
        <w:rPr>
          <w:rFonts w:ascii="Arial" w:eastAsia="Times New Roman" w:hAnsi="Arial" w:cs="Arial"/>
          <w:sz w:val="18"/>
          <w:szCs w:val="18"/>
        </w:rPr>
        <w:t xml:space="preserve"> peer-reviewed scholarship in architectural theory and criticism, top-tier professional periodicals from beyond North America,</w:t>
      </w:r>
      <w:r w:rsidR="003E2B8A" w:rsidRPr="00FF7392">
        <w:rPr>
          <w:rFonts w:ascii="Arial" w:eastAsia="Times New Roman" w:hAnsi="Arial" w:cs="Arial"/>
          <w:sz w:val="18"/>
          <w:szCs w:val="18"/>
        </w:rPr>
        <w:t xml:space="preserve"> </w:t>
      </w:r>
      <w:r w:rsidR="00FF7392" w:rsidRPr="00FF7392">
        <w:rPr>
          <w:rFonts w:ascii="Arial" w:eastAsia="Times New Roman" w:hAnsi="Arial" w:cs="Arial"/>
          <w:sz w:val="18"/>
          <w:szCs w:val="18"/>
        </w:rPr>
        <w:t xml:space="preserve">and </w:t>
      </w:r>
      <w:r w:rsidR="003E2B8A" w:rsidRPr="00FF7392">
        <w:rPr>
          <w:rFonts w:ascii="Arial" w:eastAsia="Times New Roman" w:hAnsi="Arial" w:cs="Arial"/>
          <w:sz w:val="18"/>
          <w:szCs w:val="18"/>
        </w:rPr>
        <w:t xml:space="preserve">basic titles in planning, landscape and garden design, urban design, </w:t>
      </w:r>
      <w:r w:rsidR="00FF7392" w:rsidRPr="00FF7392">
        <w:rPr>
          <w:rFonts w:ascii="Arial" w:eastAsia="Times New Roman" w:hAnsi="Arial" w:cs="Arial"/>
          <w:sz w:val="18"/>
          <w:szCs w:val="18"/>
        </w:rPr>
        <w:t xml:space="preserve">and </w:t>
      </w:r>
      <w:r w:rsidR="003E2B8A" w:rsidRPr="00FF7392">
        <w:rPr>
          <w:rFonts w:ascii="Arial" w:eastAsia="Times New Roman" w:hAnsi="Arial" w:cs="Arial"/>
          <w:sz w:val="18"/>
          <w:szCs w:val="18"/>
        </w:rPr>
        <w:t>interior design</w:t>
      </w:r>
      <w:r w:rsidR="00FF7392" w:rsidRPr="00FF7392">
        <w:rPr>
          <w:rFonts w:ascii="Arial" w:eastAsia="Times New Roman" w:hAnsi="Arial" w:cs="Arial"/>
          <w:sz w:val="18"/>
          <w:szCs w:val="18"/>
        </w:rPr>
        <w:t xml:space="preserve">. </w:t>
      </w:r>
    </w:p>
    <w:p w:rsidR="002412F9" w:rsidRPr="00FF7392" w:rsidRDefault="000C0386" w:rsidP="00B95862">
      <w:pPr>
        <w:shd w:val="clear" w:color="auto" w:fill="FFFFFF"/>
        <w:spacing w:after="240"/>
        <w:ind w:left="720"/>
        <w:rPr>
          <w:rFonts w:ascii="Arial" w:eastAsia="Times New Roman" w:hAnsi="Arial" w:cs="Arial"/>
          <w:sz w:val="18"/>
          <w:szCs w:val="18"/>
        </w:rPr>
      </w:pPr>
      <w:r w:rsidRPr="00FF7392">
        <w:rPr>
          <w:rFonts w:ascii="Arial" w:eastAsia="Times New Roman" w:hAnsi="Arial" w:cs="Arial"/>
          <w:b/>
          <w:sz w:val="18"/>
          <w:szCs w:val="18"/>
        </w:rPr>
        <w:t>Topical titles</w:t>
      </w:r>
      <w:r w:rsidRPr="00FF7392">
        <w:rPr>
          <w:rFonts w:ascii="Arial" w:eastAsia="Times New Roman" w:hAnsi="Arial" w:cs="Arial"/>
          <w:sz w:val="18"/>
          <w:szCs w:val="18"/>
        </w:rPr>
        <w:t xml:space="preserve"> </w:t>
      </w:r>
      <w:r w:rsidR="002412F9" w:rsidRPr="00FF7392">
        <w:rPr>
          <w:rFonts w:ascii="Arial" w:eastAsia="Times New Roman" w:hAnsi="Arial" w:cs="Arial"/>
          <w:sz w:val="18"/>
          <w:szCs w:val="18"/>
        </w:rPr>
        <w:t>are either</w:t>
      </w:r>
      <w:r w:rsidR="00E34B4C" w:rsidRPr="00FF7392">
        <w:rPr>
          <w:rFonts w:ascii="Arial" w:eastAsia="Times New Roman" w:hAnsi="Arial" w:cs="Arial"/>
          <w:sz w:val="18"/>
          <w:szCs w:val="18"/>
        </w:rPr>
        <w:t xml:space="preserve"> highly specialized or regionally focused. </w:t>
      </w:r>
    </w:p>
    <w:p w:rsidR="003E2B8A" w:rsidRPr="00FF7392" w:rsidRDefault="00B95862" w:rsidP="00B95862">
      <w:pPr>
        <w:shd w:val="clear" w:color="auto" w:fill="FFFFFF"/>
        <w:spacing w:after="240"/>
        <w:ind w:left="720"/>
        <w:rPr>
          <w:rFonts w:ascii="Arial" w:eastAsia="Times New Roman" w:hAnsi="Arial" w:cs="Arial"/>
          <w:sz w:val="20"/>
          <w:szCs w:val="20"/>
        </w:rPr>
      </w:pPr>
      <w:r w:rsidRPr="00FF7392">
        <w:rPr>
          <w:rFonts w:ascii="Arial" w:eastAsia="Times New Roman" w:hAnsi="Arial" w:cs="Arial"/>
          <w:b/>
          <w:sz w:val="18"/>
          <w:szCs w:val="18"/>
        </w:rPr>
        <w:t>Titles to watch</w:t>
      </w:r>
      <w:r w:rsidRPr="00FF7392">
        <w:rPr>
          <w:rFonts w:ascii="Arial" w:eastAsia="Times New Roman" w:hAnsi="Arial" w:cs="Arial"/>
          <w:sz w:val="18"/>
          <w:szCs w:val="18"/>
        </w:rPr>
        <w:t xml:space="preserve"> are either new promising additions to the design publications landscape--or proven titles in a state of transition--that have yet to prove their market viability.</w:t>
      </w:r>
    </w:p>
    <w:p w:rsidR="00354BFD" w:rsidRPr="00FF7392" w:rsidRDefault="00354BFD" w:rsidP="00354BFD">
      <w:pPr>
        <w:shd w:val="clear" w:color="auto" w:fill="FFFFFF"/>
        <w:spacing w:after="240"/>
        <w:rPr>
          <w:rFonts w:ascii="Arial" w:eastAsia="Times New Roman" w:hAnsi="Arial" w:cs="Arial"/>
          <w:sz w:val="20"/>
          <w:szCs w:val="20"/>
        </w:rPr>
      </w:pPr>
      <w:r w:rsidRPr="00FF7392">
        <w:rPr>
          <w:rFonts w:ascii="Arial" w:eastAsia="Times New Roman" w:hAnsi="Arial" w:cs="Arial"/>
          <w:sz w:val="20"/>
          <w:szCs w:val="20"/>
        </w:rPr>
        <w:t>AASL presents the 5</w:t>
      </w:r>
      <w:r w:rsidRPr="00FF7392">
        <w:rPr>
          <w:rFonts w:ascii="Arial" w:eastAsia="Times New Roman" w:hAnsi="Arial" w:cs="Arial"/>
          <w:sz w:val="20"/>
          <w:szCs w:val="20"/>
          <w:vertAlign w:val="superscript"/>
        </w:rPr>
        <w:t>th</w:t>
      </w:r>
      <w:r w:rsidRPr="00FF7392">
        <w:rPr>
          <w:rFonts w:ascii="Arial" w:eastAsia="Times New Roman" w:hAnsi="Arial" w:cs="Arial"/>
          <w:sz w:val="20"/>
          <w:szCs w:val="20"/>
        </w:rPr>
        <w:t xml:space="preserve"> edition of the Core List of Architecture Periodicals as guidance for faculty and students and a working tool for collections librarians. NAAB accreditation teams also may find the list a valuable resource in the evaluation of the robustness of an architecture program’s information resources. </w:t>
      </w:r>
    </w:p>
    <w:p w:rsidR="00354BFD" w:rsidRPr="00FF7392" w:rsidRDefault="00354BFD" w:rsidP="00354BFD">
      <w:pPr>
        <w:shd w:val="clear" w:color="auto" w:fill="FFFFFF"/>
        <w:spacing w:after="240"/>
        <w:rPr>
          <w:rFonts w:ascii="Arial" w:eastAsia="Times New Roman" w:hAnsi="Arial" w:cs="Arial"/>
          <w:sz w:val="20"/>
          <w:szCs w:val="20"/>
        </w:rPr>
      </w:pPr>
      <w:r w:rsidRPr="00FF7392">
        <w:rPr>
          <w:rFonts w:ascii="Arial" w:eastAsia="Times New Roman" w:hAnsi="Arial" w:cs="Arial"/>
          <w:sz w:val="20"/>
          <w:szCs w:val="20"/>
        </w:rPr>
        <w:t>Ne</w:t>
      </w:r>
      <w:bookmarkStart w:id="0" w:name="_GoBack"/>
      <w:bookmarkEnd w:id="0"/>
      <w:r w:rsidRPr="00FF7392">
        <w:rPr>
          <w:rFonts w:ascii="Arial" w:eastAsia="Times New Roman" w:hAnsi="Arial" w:cs="Arial"/>
          <w:sz w:val="20"/>
          <w:szCs w:val="20"/>
        </w:rPr>
        <w:t>w or small schools may only be able to add</w:t>
      </w:r>
      <w:r w:rsidR="00BD3C39">
        <w:rPr>
          <w:rFonts w:ascii="Arial" w:eastAsia="Times New Roman" w:hAnsi="Arial" w:cs="Arial"/>
          <w:sz w:val="20"/>
          <w:szCs w:val="20"/>
        </w:rPr>
        <w:t xml:space="preserve"> select</w:t>
      </w:r>
      <w:r w:rsidRPr="00FF7392">
        <w:rPr>
          <w:rFonts w:ascii="Arial" w:eastAsia="Times New Roman" w:hAnsi="Arial" w:cs="Arial"/>
          <w:sz w:val="20"/>
          <w:szCs w:val="20"/>
        </w:rPr>
        <w:t xml:space="preserve"> </w:t>
      </w:r>
      <w:r w:rsidR="00812FCF">
        <w:rPr>
          <w:rFonts w:ascii="Arial" w:eastAsia="Times New Roman" w:hAnsi="Arial" w:cs="Arial"/>
          <w:sz w:val="20"/>
          <w:szCs w:val="20"/>
        </w:rPr>
        <w:t>fundamental</w:t>
      </w:r>
      <w:r w:rsidRPr="00FF7392">
        <w:rPr>
          <w:rFonts w:ascii="Arial" w:eastAsia="Times New Roman" w:hAnsi="Arial" w:cs="Arial"/>
          <w:sz w:val="20"/>
          <w:szCs w:val="20"/>
        </w:rPr>
        <w:t xml:space="preserve"> titles, while larger institutions may even consider more topical journals or additions from outside the immediate field. Regionally important titles should become part of every collection. Hopefully this list will enable users to become more aware of the breadth of architectural periodic literature.</w:t>
      </w:r>
    </w:p>
    <w:p w:rsidR="003E2B8A" w:rsidRPr="00FF7392" w:rsidRDefault="003E2B8A" w:rsidP="003E2B8A">
      <w:pPr>
        <w:rPr>
          <w:rFonts w:ascii="Arial" w:hAnsi="Arial" w:cs="Arial"/>
          <w:sz w:val="20"/>
          <w:szCs w:val="20"/>
          <w:u w:val="single"/>
          <w:shd w:val="clear" w:color="auto" w:fill="FFFFFF"/>
        </w:rPr>
      </w:pPr>
      <w:r w:rsidRPr="00FF7392">
        <w:rPr>
          <w:rFonts w:ascii="Arial" w:hAnsi="Arial" w:cs="Arial"/>
          <w:sz w:val="20"/>
          <w:szCs w:val="20"/>
          <w:u w:val="single"/>
          <w:shd w:val="clear" w:color="auto" w:fill="FFFFFF"/>
        </w:rPr>
        <w:t>Screening criteria for a ‘core’ architecture periodical:</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Longevity</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lastRenderedPageBreak/>
        <w:t>Relevance to the profession (including consideration of currency)</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Geographical scope: global/regional/national</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Topical scope (does it reflect trends and issues within or affecting the profession)</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Typol</w:t>
      </w:r>
      <w:r w:rsidR="00BD3C39">
        <w:rPr>
          <w:rFonts w:ascii="Arial" w:hAnsi="Arial" w:cs="Arial"/>
          <w:sz w:val="20"/>
          <w:szCs w:val="20"/>
          <w:shd w:val="clear" w:color="auto" w:fill="FFFFFF"/>
        </w:rPr>
        <w:t>ogical scope: breadth, or focus</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Editorial content</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b/>
        <w:t xml:space="preserve">Depth and relevance </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b/>
        <w:t>Authority</w:t>
      </w:r>
      <w:r w:rsidRPr="00FF7392">
        <w:rPr>
          <w:rFonts w:ascii="Arial" w:hAnsi="Arial" w:cs="Arial"/>
          <w:sz w:val="20"/>
          <w:szCs w:val="20"/>
          <w:shd w:val="clear" w:color="auto" w:fill="FFFFFF"/>
        </w:rPr>
        <w:tab/>
      </w:r>
    </w:p>
    <w:p w:rsidR="003E2B8A" w:rsidRPr="00FF7392" w:rsidRDefault="003E2B8A" w:rsidP="003E2B8A">
      <w:pPr>
        <w:ind w:firstLine="720"/>
        <w:rPr>
          <w:rFonts w:ascii="Arial" w:hAnsi="Arial" w:cs="Arial"/>
          <w:sz w:val="20"/>
          <w:szCs w:val="20"/>
          <w:shd w:val="clear" w:color="auto" w:fill="FFFFFF"/>
        </w:rPr>
      </w:pPr>
      <w:r w:rsidRPr="00FF7392">
        <w:rPr>
          <w:rFonts w:ascii="Arial" w:hAnsi="Arial" w:cs="Arial"/>
          <w:sz w:val="20"/>
          <w:szCs w:val="20"/>
          <w:shd w:val="clear" w:color="auto" w:fill="FFFFFF"/>
        </w:rPr>
        <w:t>Length of articles</w:t>
      </w:r>
    </w:p>
    <w:p w:rsidR="003E2B8A" w:rsidRPr="00FF7392" w:rsidRDefault="003E2B8A" w:rsidP="003E2B8A">
      <w:pPr>
        <w:ind w:firstLine="720"/>
        <w:rPr>
          <w:rFonts w:ascii="Arial" w:hAnsi="Arial" w:cs="Arial"/>
          <w:sz w:val="20"/>
          <w:szCs w:val="20"/>
          <w:shd w:val="clear" w:color="auto" w:fill="FFFFFF"/>
        </w:rPr>
      </w:pPr>
      <w:r w:rsidRPr="00FF7392">
        <w:rPr>
          <w:rFonts w:ascii="Arial" w:hAnsi="Arial" w:cs="Arial"/>
          <w:sz w:val="20"/>
          <w:szCs w:val="20"/>
          <w:shd w:val="clear" w:color="auto" w:fill="FFFFFF"/>
        </w:rPr>
        <w:t>Language/accessibility</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Publisher:</w:t>
      </w:r>
    </w:p>
    <w:p w:rsidR="003E2B8A" w:rsidRPr="00FF7392" w:rsidRDefault="003E2B8A" w:rsidP="003E2B8A">
      <w:pPr>
        <w:ind w:firstLine="720"/>
        <w:rPr>
          <w:rFonts w:ascii="Arial" w:hAnsi="Arial" w:cs="Arial"/>
          <w:sz w:val="20"/>
          <w:szCs w:val="20"/>
          <w:shd w:val="clear" w:color="auto" w:fill="FFFFFF"/>
        </w:rPr>
      </w:pPr>
      <w:r w:rsidRPr="00FF7392">
        <w:rPr>
          <w:rFonts w:ascii="Arial" w:hAnsi="Arial" w:cs="Arial"/>
          <w:sz w:val="20"/>
          <w:szCs w:val="20"/>
          <w:shd w:val="clear" w:color="auto" w:fill="FFFFFF"/>
        </w:rPr>
        <w:t>Stability</w:t>
      </w:r>
    </w:p>
    <w:p w:rsidR="003E2B8A" w:rsidRPr="00FF7392" w:rsidRDefault="003E2B8A" w:rsidP="003E2B8A">
      <w:pPr>
        <w:ind w:firstLine="720"/>
        <w:rPr>
          <w:rFonts w:ascii="Arial" w:hAnsi="Arial" w:cs="Arial"/>
          <w:sz w:val="20"/>
          <w:szCs w:val="20"/>
          <w:shd w:val="clear" w:color="auto" w:fill="FFFFFF"/>
        </w:rPr>
      </w:pPr>
      <w:r w:rsidRPr="00FF7392">
        <w:rPr>
          <w:rFonts w:ascii="Arial" w:hAnsi="Arial" w:cs="Arial"/>
          <w:sz w:val="20"/>
          <w:szCs w:val="20"/>
          <w:shd w:val="clear" w:color="auto" w:fill="FFFFFF"/>
        </w:rPr>
        <w:t>Authority</w:t>
      </w:r>
    </w:p>
    <w:p w:rsidR="003E2B8A" w:rsidRPr="00FF7392" w:rsidRDefault="003E2B8A" w:rsidP="003E2B8A">
      <w:pPr>
        <w:ind w:firstLine="720"/>
        <w:rPr>
          <w:rFonts w:ascii="Arial" w:hAnsi="Arial" w:cs="Arial"/>
          <w:sz w:val="20"/>
          <w:szCs w:val="20"/>
          <w:shd w:val="clear" w:color="auto" w:fill="FFFFFF"/>
        </w:rPr>
      </w:pPr>
      <w:r w:rsidRPr="00FF7392">
        <w:rPr>
          <w:rFonts w:ascii="Arial" w:hAnsi="Arial" w:cs="Arial"/>
          <w:sz w:val="20"/>
          <w:szCs w:val="20"/>
          <w:shd w:val="clear" w:color="auto" w:fill="FFFFFF"/>
        </w:rPr>
        <w:t>Reputation</w:t>
      </w:r>
    </w:p>
    <w:p w:rsidR="003E2B8A" w:rsidRPr="00FF7392" w:rsidRDefault="003E2B8A" w:rsidP="003E2B8A">
      <w:pPr>
        <w:ind w:firstLine="720"/>
        <w:rPr>
          <w:rFonts w:ascii="Arial" w:hAnsi="Arial" w:cs="Arial"/>
          <w:sz w:val="20"/>
          <w:szCs w:val="20"/>
          <w:shd w:val="clear" w:color="auto" w:fill="FFFFFF"/>
        </w:rPr>
      </w:pPr>
      <w:r w:rsidRPr="00FF7392">
        <w:rPr>
          <w:rFonts w:ascii="Arial" w:hAnsi="Arial" w:cs="Arial"/>
          <w:sz w:val="20"/>
          <w:szCs w:val="20"/>
          <w:shd w:val="clear" w:color="auto" w:fill="FFFFFF"/>
        </w:rPr>
        <w:t>Availability (supports institutional subscriptions/access)</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 xml:space="preserve">Graphic standards: </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b/>
        <w:t>Clarity of format</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b/>
        <w:t>Overall design quality</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b/>
        <w:t>Graphic coverage: plans/sections/elevations/</w:t>
      </w:r>
      <w:r w:rsidR="00BD3C39" w:rsidRPr="00FF7392">
        <w:rPr>
          <w:rFonts w:ascii="Arial" w:hAnsi="Arial" w:cs="Arial"/>
          <w:sz w:val="20"/>
          <w:szCs w:val="20"/>
          <w:shd w:val="clear" w:color="auto" w:fill="FFFFFF"/>
        </w:rPr>
        <w:t>axonometric</w:t>
      </w:r>
      <w:r w:rsidRPr="00FF7392">
        <w:rPr>
          <w:rFonts w:ascii="Arial" w:hAnsi="Arial" w:cs="Arial"/>
          <w:sz w:val="20"/>
          <w:szCs w:val="20"/>
          <w:shd w:val="clear" w:color="auto" w:fill="FFFFFF"/>
        </w:rPr>
        <w:t>/site plans/photographs/analytical graphics</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b/>
        <w:t>Graphic reproduction quality</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b/>
        <w:t>Photographic quality and appropriate abundance</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b/>
        <w:t>Inclusion of scale/dimensions</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Access to content: i.e., inclusion in the Avery Index to Architectural Periodicals and/or other major indices</w:t>
      </w:r>
    </w:p>
    <w:p w:rsidR="003E2B8A" w:rsidRPr="00FF7392" w:rsidRDefault="003E2B8A" w:rsidP="003E2B8A">
      <w:pPr>
        <w:rPr>
          <w:rFonts w:ascii="Arial" w:hAnsi="Arial" w:cs="Arial"/>
          <w:sz w:val="20"/>
          <w:szCs w:val="20"/>
          <w:shd w:val="clear" w:color="auto" w:fill="FFFFFF"/>
        </w:rPr>
      </w:pPr>
      <w:r w:rsidRPr="00FF7392">
        <w:rPr>
          <w:rFonts w:ascii="Arial" w:hAnsi="Arial" w:cs="Arial"/>
          <w:sz w:val="20"/>
          <w:szCs w:val="20"/>
          <w:shd w:val="clear" w:color="auto" w:fill="FFFFFF"/>
        </w:rPr>
        <w:t>How exemplary of its publication category: academic/scholarly, professional/trade, consumer</w:t>
      </w:r>
    </w:p>
    <w:p w:rsidR="003E2B8A" w:rsidRDefault="003E2B8A" w:rsidP="00A27EB4">
      <w:pPr>
        <w:ind w:left="720"/>
        <w:rPr>
          <w:rFonts w:ascii="Arial" w:hAnsi="Arial" w:cs="Arial"/>
          <w:sz w:val="20"/>
          <w:szCs w:val="20"/>
          <w:shd w:val="clear" w:color="auto" w:fill="FFFFFF"/>
        </w:rPr>
      </w:pPr>
      <w:r w:rsidRPr="00FF7392">
        <w:rPr>
          <w:rFonts w:ascii="Arial" w:hAnsi="Arial" w:cs="Arial"/>
          <w:sz w:val="20"/>
          <w:szCs w:val="20"/>
          <w:shd w:val="clear" w:color="auto" w:fill="FFFFFF"/>
        </w:rPr>
        <w:t>For peer-reviewed periodicals: availability of impact data</w:t>
      </w:r>
      <w:r w:rsidR="00A27EB4">
        <w:rPr>
          <w:rFonts w:ascii="Arial" w:hAnsi="Arial" w:cs="Arial"/>
          <w:sz w:val="20"/>
          <w:szCs w:val="20"/>
          <w:shd w:val="clear" w:color="auto" w:fill="FFFFFF"/>
        </w:rPr>
        <w:t xml:space="preserve">, measuring the importance of journal by the frequency of yearly article citations. </w:t>
      </w:r>
    </w:p>
    <w:p w:rsidR="00B95862" w:rsidRDefault="00B95862" w:rsidP="003E2B8A">
      <w:pPr>
        <w:rPr>
          <w:rFonts w:ascii="Arial" w:hAnsi="Arial" w:cs="Arial"/>
          <w:sz w:val="20"/>
          <w:szCs w:val="20"/>
          <w:shd w:val="clear" w:color="auto" w:fill="FFFFFF"/>
        </w:rPr>
      </w:pPr>
    </w:p>
    <w:p w:rsidR="00B95862" w:rsidRDefault="00B95862" w:rsidP="003E2B8A">
      <w:pPr>
        <w:rPr>
          <w:rFonts w:ascii="Arial" w:hAnsi="Arial" w:cs="Arial"/>
          <w:sz w:val="20"/>
          <w:szCs w:val="20"/>
          <w:shd w:val="clear" w:color="auto" w:fill="FFFFFF"/>
        </w:rPr>
      </w:pPr>
      <w:r w:rsidRPr="00B95862">
        <w:rPr>
          <w:rFonts w:ascii="Arial" w:hAnsi="Arial" w:cs="Arial"/>
          <w:b/>
          <w:sz w:val="20"/>
          <w:szCs w:val="20"/>
          <w:shd w:val="clear" w:color="auto" w:fill="FFFFFF"/>
        </w:rPr>
        <w:t>Attachment</w:t>
      </w:r>
      <w:r>
        <w:rPr>
          <w:rFonts w:ascii="Arial" w:hAnsi="Arial" w:cs="Arial"/>
          <w:sz w:val="20"/>
          <w:szCs w:val="20"/>
          <w:shd w:val="clear" w:color="auto" w:fill="FFFFFF"/>
        </w:rPr>
        <w:t xml:space="preserve">: </w:t>
      </w:r>
    </w:p>
    <w:p w:rsidR="00B95862" w:rsidRPr="00FF7392" w:rsidRDefault="00B95862" w:rsidP="003E2B8A">
      <w:pPr>
        <w:rPr>
          <w:rFonts w:ascii="Arial" w:hAnsi="Arial" w:cs="Arial"/>
          <w:sz w:val="20"/>
          <w:szCs w:val="20"/>
          <w:shd w:val="clear" w:color="auto" w:fill="FFFFFF"/>
        </w:rPr>
      </w:pPr>
      <w:r>
        <w:rPr>
          <w:rFonts w:ascii="Arial" w:hAnsi="Arial" w:cs="Arial"/>
          <w:sz w:val="20"/>
          <w:szCs w:val="20"/>
          <w:shd w:val="clear" w:color="auto" w:fill="FFFFFF"/>
        </w:rPr>
        <w:t xml:space="preserve">Core Lists spreadsheet: </w:t>
      </w:r>
      <w:r w:rsidR="00812FCF">
        <w:rPr>
          <w:rFonts w:ascii="Arial" w:hAnsi="Arial" w:cs="Arial"/>
          <w:sz w:val="20"/>
          <w:szCs w:val="20"/>
          <w:shd w:val="clear" w:color="auto" w:fill="FFFFFF"/>
        </w:rPr>
        <w:t>Fundamental</w:t>
      </w:r>
      <w:r>
        <w:rPr>
          <w:rFonts w:ascii="Arial" w:hAnsi="Arial" w:cs="Arial"/>
          <w:sz w:val="20"/>
          <w:szCs w:val="20"/>
          <w:shd w:val="clear" w:color="auto" w:fill="FFFFFF"/>
        </w:rPr>
        <w:t>, Recommended, Topical, Titles to Watch (and Discontinued, for informational purposes)</w:t>
      </w:r>
    </w:p>
    <w:p w:rsidR="003E2B8A" w:rsidRPr="00FF7392" w:rsidRDefault="003E2B8A" w:rsidP="003E2B8A">
      <w:pPr>
        <w:rPr>
          <w:rFonts w:ascii="Arial" w:hAnsi="Arial" w:cs="Arial"/>
          <w:sz w:val="20"/>
          <w:szCs w:val="20"/>
          <w:shd w:val="clear" w:color="auto" w:fill="FFFFFF"/>
        </w:rPr>
      </w:pPr>
    </w:p>
    <w:p w:rsidR="00E34B4C" w:rsidRPr="00FF7392" w:rsidRDefault="00E34B4C" w:rsidP="00E34B4C">
      <w:pPr>
        <w:shd w:val="clear" w:color="auto" w:fill="FFFFFF"/>
        <w:spacing w:after="240"/>
        <w:rPr>
          <w:rFonts w:ascii="Arial" w:eastAsia="Times New Roman" w:hAnsi="Arial" w:cs="Arial"/>
          <w:sz w:val="18"/>
          <w:szCs w:val="18"/>
        </w:rPr>
      </w:pPr>
    </w:p>
    <w:p w:rsidR="000A34C9" w:rsidRPr="00FF7392" w:rsidRDefault="000A34C9"/>
    <w:sectPr w:rsidR="000A34C9" w:rsidRPr="00FF7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4C"/>
    <w:rsid w:val="00037CB7"/>
    <w:rsid w:val="0007707E"/>
    <w:rsid w:val="000A34C9"/>
    <w:rsid w:val="000C0386"/>
    <w:rsid w:val="002412F9"/>
    <w:rsid w:val="00354BFD"/>
    <w:rsid w:val="003E2B8A"/>
    <w:rsid w:val="00484E53"/>
    <w:rsid w:val="005340D2"/>
    <w:rsid w:val="00603FBB"/>
    <w:rsid w:val="00812FCF"/>
    <w:rsid w:val="00972D4D"/>
    <w:rsid w:val="00991320"/>
    <w:rsid w:val="00A20DCC"/>
    <w:rsid w:val="00A27EB4"/>
    <w:rsid w:val="00B95862"/>
    <w:rsid w:val="00BD3C39"/>
    <w:rsid w:val="00C53459"/>
    <w:rsid w:val="00C5585E"/>
    <w:rsid w:val="00DA62BC"/>
    <w:rsid w:val="00DD3926"/>
    <w:rsid w:val="00E34B4C"/>
    <w:rsid w:val="00E357A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512A"/>
  <w15:chartTrackingRefBased/>
  <w15:docId w15:val="{C8FC7C71-15E0-4D9A-90E6-C8DB6FD4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B4C"/>
    <w:rPr>
      <w:b/>
      <w:bCs/>
    </w:rPr>
  </w:style>
  <w:style w:type="character" w:styleId="Emphasis">
    <w:name w:val="Emphasis"/>
    <w:basedOn w:val="DefaultParagraphFont"/>
    <w:uiPriority w:val="20"/>
    <w:qFormat/>
    <w:rsid w:val="00E34B4C"/>
    <w:rPr>
      <w:i/>
      <w:iCs/>
    </w:rPr>
  </w:style>
  <w:style w:type="character" w:styleId="Hyperlink">
    <w:name w:val="Hyperlink"/>
    <w:basedOn w:val="DefaultParagraphFont"/>
    <w:uiPriority w:val="99"/>
    <w:unhideWhenUsed/>
    <w:rsid w:val="00484E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97812">
      <w:bodyDiv w:val="1"/>
      <w:marLeft w:val="0"/>
      <w:marRight w:val="0"/>
      <w:marTop w:val="0"/>
      <w:marBottom w:val="0"/>
      <w:divBdr>
        <w:top w:val="none" w:sz="0" w:space="0" w:color="auto"/>
        <w:left w:val="none" w:sz="0" w:space="0" w:color="auto"/>
        <w:bottom w:val="none" w:sz="0" w:space="0" w:color="auto"/>
        <w:right w:val="none" w:sz="0" w:space="0" w:color="auto"/>
      </w:divBdr>
    </w:div>
    <w:div w:id="9793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Edwards</dc:creator>
  <cp:keywords/>
  <dc:description/>
  <cp:lastModifiedBy>Orcutt, Rose</cp:lastModifiedBy>
  <cp:revision>2</cp:revision>
  <dcterms:created xsi:type="dcterms:W3CDTF">2019-08-28T16:36:00Z</dcterms:created>
  <dcterms:modified xsi:type="dcterms:W3CDTF">2019-08-28T16:36:00Z</dcterms:modified>
</cp:coreProperties>
</file>